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2C05" w14:textId="2AF0114C" w:rsidR="00E9487B" w:rsidRPr="00786254" w:rsidRDefault="00151B38" w:rsidP="00E9487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TTE58A6750t00CID-WinCharSetFFFF"/>
          <w:kern w:val="0"/>
          <w:sz w:val="32"/>
          <w:szCs w:val="32"/>
        </w:rPr>
      </w:pPr>
      <w:r w:rsidRPr="00786254">
        <w:rPr>
          <w:rFonts w:asciiTheme="majorEastAsia" w:eastAsiaTheme="majorEastAsia" w:hAnsiTheme="majorEastAsia" w:cs="TTE58A6750t00CID-WinCharSetFFFF" w:hint="eastAsia"/>
          <w:kern w:val="0"/>
          <w:sz w:val="32"/>
          <w:szCs w:val="32"/>
        </w:rPr>
        <w:t>同意書</w:t>
      </w:r>
      <w:r w:rsidR="00AC7500">
        <w:rPr>
          <w:rFonts w:asciiTheme="majorEastAsia" w:eastAsiaTheme="majorEastAsia" w:hAnsiTheme="majorEastAsia" w:cs="TTE58A6750t00CID-WinCharSetFFFF" w:hint="eastAsia"/>
          <w:kern w:val="0"/>
          <w:sz w:val="32"/>
          <w:szCs w:val="32"/>
        </w:rPr>
        <w:t>（１号</w:t>
      </w:r>
      <w:r w:rsidR="000E1F12">
        <w:rPr>
          <w:rFonts w:asciiTheme="majorEastAsia" w:eastAsiaTheme="majorEastAsia" w:hAnsiTheme="majorEastAsia" w:cs="TTE58A6750t00CID-WinCharSetFFFF" w:hint="eastAsia"/>
          <w:kern w:val="0"/>
          <w:sz w:val="32"/>
          <w:szCs w:val="32"/>
        </w:rPr>
        <w:t>認定</w:t>
      </w:r>
      <w:r w:rsidR="00AC7500">
        <w:rPr>
          <w:rFonts w:asciiTheme="majorEastAsia" w:eastAsiaTheme="majorEastAsia" w:hAnsiTheme="majorEastAsia" w:cs="TTE58A6750t00CID-WinCharSetFFFF" w:hint="eastAsia"/>
          <w:kern w:val="0"/>
          <w:sz w:val="32"/>
          <w:szCs w:val="32"/>
        </w:rPr>
        <w:t>用）</w:t>
      </w:r>
    </w:p>
    <w:p w14:paraId="53B9797B" w14:textId="77777777" w:rsidR="00FA19D1" w:rsidRDefault="00151B38" w:rsidP="00E9487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  <w:r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>以下の事項をよくお読みのうえ、ご署名をお願いします。</w:t>
      </w:r>
    </w:p>
    <w:p w14:paraId="0D765055" w14:textId="77777777" w:rsidR="0097706B" w:rsidRPr="0097706B" w:rsidRDefault="0097706B" w:rsidP="00E9487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</w:p>
    <w:tbl>
      <w:tblPr>
        <w:tblW w:w="100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000" w:firstRow="0" w:lastRow="0" w:firstColumn="0" w:lastColumn="0" w:noHBand="0" w:noVBand="0"/>
      </w:tblPr>
      <w:tblGrid>
        <w:gridCol w:w="524"/>
        <w:gridCol w:w="9558"/>
      </w:tblGrid>
      <w:tr w:rsidR="00970F22" w:rsidRPr="00786254" w14:paraId="32D1C21D" w14:textId="77777777" w:rsidTr="00151B38">
        <w:trPr>
          <w:trHeight w:val="570"/>
        </w:trPr>
        <w:tc>
          <w:tcPr>
            <w:tcW w:w="524" w:type="dxa"/>
            <w:shd w:val="clear" w:color="auto" w:fill="auto"/>
            <w:noWrap/>
            <w:vAlign w:val="center"/>
          </w:tcPr>
          <w:p w14:paraId="0EF48EE5" w14:textId="77777777" w:rsidR="00970F22" w:rsidRPr="00786254" w:rsidRDefault="00D845E3" w:rsidP="004E7B8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571A9BA4" w14:textId="77777777" w:rsidR="00970F22" w:rsidRPr="00786254" w:rsidRDefault="00151B38" w:rsidP="004E7B8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適正な</w:t>
            </w:r>
            <w:r w:rsidR="006555F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教育・</w:t>
            </w:r>
            <w:r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保育を行うため、関係機関から</w:t>
            </w:r>
            <w:r w:rsidR="001867E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入園</w:t>
            </w:r>
            <w:r w:rsidR="00FA19D1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児童に関する</w:t>
            </w:r>
            <w:r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資料を取得することがあります。また、関係機関からの求めに応じ</w:t>
            </w:r>
            <w:r w:rsidR="001867E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入園</w:t>
            </w:r>
            <w:r w:rsidR="00FA19D1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児童に関する</w:t>
            </w:r>
            <w:r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資料を提供することがあります。</w:t>
            </w:r>
          </w:p>
        </w:tc>
      </w:tr>
      <w:tr w:rsidR="00970F22" w:rsidRPr="00786254" w14:paraId="7A525119" w14:textId="77777777" w:rsidTr="00151B38">
        <w:trPr>
          <w:trHeight w:val="570"/>
        </w:trPr>
        <w:tc>
          <w:tcPr>
            <w:tcW w:w="524" w:type="dxa"/>
            <w:shd w:val="clear" w:color="auto" w:fill="auto"/>
            <w:noWrap/>
            <w:vAlign w:val="center"/>
          </w:tcPr>
          <w:p w14:paraId="34109CB7" w14:textId="77777777" w:rsidR="00970F22" w:rsidRPr="00786254" w:rsidRDefault="00D845E3" w:rsidP="004E7B8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7C58EB93" w14:textId="1EF0DC38" w:rsidR="00970F22" w:rsidRPr="00786254" w:rsidRDefault="001867E4" w:rsidP="00577AA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入園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手続きに必要な書類は、</w:t>
            </w:r>
            <w:r w:rsidR="000D44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入園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までに必ず提出してください。書類の提出がない場合は、入園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不承諾となる</w:t>
            </w:r>
            <w:r w:rsidR="008807D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こと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があります。</w:t>
            </w:r>
          </w:p>
        </w:tc>
      </w:tr>
      <w:tr w:rsidR="00970F22" w:rsidRPr="00786254" w14:paraId="3D284A4E" w14:textId="77777777" w:rsidTr="00151B38">
        <w:trPr>
          <w:trHeight w:val="570"/>
        </w:trPr>
        <w:tc>
          <w:tcPr>
            <w:tcW w:w="524" w:type="dxa"/>
            <w:shd w:val="clear" w:color="auto" w:fill="auto"/>
            <w:noWrap/>
            <w:vAlign w:val="center"/>
          </w:tcPr>
          <w:p w14:paraId="42FE1F19" w14:textId="77777777" w:rsidR="00970F22" w:rsidRPr="00786254" w:rsidRDefault="00D845E3" w:rsidP="004E7B8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29FBD508" w14:textId="4CCE5ED6" w:rsidR="00970F22" w:rsidRPr="00786254" w:rsidRDefault="00FC1AB4" w:rsidP="004E7B8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入園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書類の有効期限は、当該年度末日までとなります。翌年度も</w:t>
            </w:r>
            <w:r w:rsidR="00AC750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認定こども園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の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入園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を希望する場合は、改めて申請していただく必要があります。</w:t>
            </w:r>
          </w:p>
        </w:tc>
      </w:tr>
      <w:tr w:rsidR="00970F22" w:rsidRPr="00786254" w14:paraId="6E21686B" w14:textId="77777777" w:rsidTr="00151B38">
        <w:trPr>
          <w:trHeight w:val="570"/>
        </w:trPr>
        <w:tc>
          <w:tcPr>
            <w:tcW w:w="524" w:type="dxa"/>
            <w:shd w:val="clear" w:color="auto" w:fill="auto"/>
            <w:noWrap/>
            <w:vAlign w:val="center"/>
          </w:tcPr>
          <w:p w14:paraId="4DB7673B" w14:textId="77777777" w:rsidR="00970F22" w:rsidRPr="00786254" w:rsidRDefault="00D845E3" w:rsidP="004E7B8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1000148F" w14:textId="4E23A072" w:rsidR="00970F22" w:rsidRPr="00786254" w:rsidRDefault="001867E4" w:rsidP="00FA19D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申請（入園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）後、世帯等の状</w:t>
            </w:r>
            <w:r w:rsidR="00FA19D1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況に変更が生じた場合は、「各種変更届」に変更事項を記入し、すみやかに</w:t>
            </w:r>
            <w:r w:rsidR="00DB26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幼保こども園課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へ提出してください。</w:t>
            </w:r>
          </w:p>
        </w:tc>
      </w:tr>
      <w:tr w:rsidR="00970F22" w:rsidRPr="00786254" w14:paraId="4CDAA695" w14:textId="77777777" w:rsidTr="00151B38">
        <w:trPr>
          <w:trHeight w:val="570"/>
        </w:trPr>
        <w:tc>
          <w:tcPr>
            <w:tcW w:w="524" w:type="dxa"/>
            <w:shd w:val="clear" w:color="auto" w:fill="auto"/>
            <w:noWrap/>
            <w:vAlign w:val="center"/>
          </w:tcPr>
          <w:p w14:paraId="12AFD319" w14:textId="77777777" w:rsidR="00970F22" w:rsidRPr="00786254" w:rsidRDefault="00E518CC" w:rsidP="004E7B8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558" w:type="dxa"/>
            <w:shd w:val="clear" w:color="auto" w:fill="auto"/>
            <w:vAlign w:val="center"/>
          </w:tcPr>
          <w:p w14:paraId="7E42343B" w14:textId="7C6430CD" w:rsidR="00970F22" w:rsidRPr="00786254" w:rsidRDefault="005D613D" w:rsidP="00E76D1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給食費等</w:t>
            </w:r>
            <w:r w:rsidR="0049775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が滞納となった場合、督促状を送付します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。それでもなお納付がない場合には、滞納金額にかかわらず、財産</w:t>
            </w:r>
            <w:r w:rsidR="007A125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調査を行い、</w:t>
            </w:r>
            <w:r w:rsidR="00151B38" w:rsidRPr="0078625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差し押さえを行うことがあります。</w:t>
            </w:r>
          </w:p>
        </w:tc>
      </w:tr>
      <w:tr w:rsidR="0036610B" w:rsidRPr="00786254" w14:paraId="422C08BD" w14:textId="77777777" w:rsidTr="00151B38">
        <w:trPr>
          <w:trHeight w:val="375"/>
        </w:trPr>
        <w:tc>
          <w:tcPr>
            <w:tcW w:w="524" w:type="dxa"/>
            <w:vAlign w:val="center"/>
          </w:tcPr>
          <w:p w14:paraId="7B357260" w14:textId="77777777" w:rsidR="0036610B" w:rsidRPr="00786254" w:rsidRDefault="00E518CC" w:rsidP="00151B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558" w:type="dxa"/>
            <w:shd w:val="clear" w:color="auto" w:fill="auto"/>
          </w:tcPr>
          <w:p w14:paraId="4C71BB52" w14:textId="53226B45" w:rsidR="0036610B" w:rsidRPr="00786254" w:rsidRDefault="000D44CF" w:rsidP="00C710C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病気療養等の正当な理由なく長期欠席等された場合（長期休業期間等は除く）は</w:t>
            </w:r>
            <w:r w:rsidR="00002833" w:rsidRPr="00786254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、</w:t>
            </w:r>
            <w:r w:rsidR="001867E4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退園</w:t>
            </w:r>
            <w:r w:rsidR="00151B38" w:rsidRPr="00786254">
              <w:rPr>
                <w:rFonts w:asciiTheme="majorEastAsia" w:eastAsiaTheme="majorEastAsia" w:hAnsiTheme="majorEastAsia" w:cs="MS-Mincho" w:hint="eastAsia"/>
                <w:kern w:val="0"/>
                <w:sz w:val="22"/>
                <w:szCs w:val="22"/>
              </w:rPr>
              <w:t>となる場合があります。</w:t>
            </w:r>
          </w:p>
        </w:tc>
      </w:tr>
      <w:tr w:rsidR="004E7B89" w:rsidRPr="00786254" w14:paraId="42F105FB" w14:textId="77777777" w:rsidTr="00151B38">
        <w:trPr>
          <w:trHeight w:val="375"/>
        </w:trPr>
        <w:tc>
          <w:tcPr>
            <w:tcW w:w="524" w:type="dxa"/>
            <w:vAlign w:val="center"/>
          </w:tcPr>
          <w:p w14:paraId="2E580D3C" w14:textId="77777777" w:rsidR="004E7B89" w:rsidRPr="00786254" w:rsidRDefault="00E518CC" w:rsidP="00151B3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TE58A6750t00CID-WinCharSetFFFF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</w:rPr>
              <w:t>7</w:t>
            </w:r>
          </w:p>
        </w:tc>
        <w:tc>
          <w:tcPr>
            <w:tcW w:w="9558" w:type="dxa"/>
            <w:shd w:val="clear" w:color="auto" w:fill="auto"/>
          </w:tcPr>
          <w:p w14:paraId="030070B8" w14:textId="77777777" w:rsidR="004E7B89" w:rsidRPr="00786254" w:rsidRDefault="00997BA4" w:rsidP="005D613D">
            <w:pPr>
              <w:widowControl/>
              <w:jc w:val="left"/>
              <w:rPr>
                <w:rFonts w:asciiTheme="majorEastAsia" w:eastAsiaTheme="majorEastAsia" w:hAnsiTheme="majorEastAsia" w:cs="TTE58A6750t00CID-WinCharSetFFFF"/>
                <w:kern w:val="0"/>
                <w:sz w:val="22"/>
                <w:szCs w:val="22"/>
              </w:rPr>
            </w:pPr>
            <w:r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支給</w:t>
            </w:r>
            <w:r w:rsidR="00A670A2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認定、</w:t>
            </w:r>
            <w:r w:rsidR="005D613D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副食費の減免</w:t>
            </w:r>
            <w:r w:rsidR="00E7434E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等のために、提供された個人番号（マイナンバー）を用いて、関係機関から</w:t>
            </w:r>
            <w:r w:rsidR="00582121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必要な</w:t>
            </w:r>
            <w:r w:rsidR="00E7434E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情報を取得することがあります。</w:t>
            </w:r>
          </w:p>
        </w:tc>
      </w:tr>
      <w:tr w:rsidR="001767BD" w:rsidRPr="00786254" w14:paraId="77A80DE0" w14:textId="77777777" w:rsidTr="00151B38">
        <w:trPr>
          <w:trHeight w:val="375"/>
        </w:trPr>
        <w:tc>
          <w:tcPr>
            <w:tcW w:w="524" w:type="dxa"/>
            <w:vAlign w:val="center"/>
          </w:tcPr>
          <w:p w14:paraId="337F3E6F" w14:textId="77777777" w:rsidR="001767BD" w:rsidRPr="00786254" w:rsidRDefault="00E518CC" w:rsidP="00151B3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TE58A6750t00CID-WinCharSetFFFF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</w:rPr>
              <w:t>8</w:t>
            </w:r>
          </w:p>
        </w:tc>
        <w:tc>
          <w:tcPr>
            <w:tcW w:w="9558" w:type="dxa"/>
            <w:shd w:val="clear" w:color="auto" w:fill="auto"/>
          </w:tcPr>
          <w:p w14:paraId="338B0769" w14:textId="77777777" w:rsidR="001767BD" w:rsidRPr="00786254" w:rsidRDefault="006816E0" w:rsidP="004E7B89">
            <w:pPr>
              <w:widowControl/>
              <w:jc w:val="left"/>
              <w:rPr>
                <w:rFonts w:asciiTheme="majorEastAsia" w:eastAsiaTheme="majorEastAsia" w:hAnsiTheme="majorEastAsia" w:cs="TTE58A6750t00CID-WinCharSetFFFF"/>
                <w:kern w:val="0"/>
                <w:sz w:val="22"/>
                <w:szCs w:val="22"/>
              </w:rPr>
            </w:pPr>
            <w:r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申請内容に虚偽があった場合、</w:t>
            </w:r>
            <w:r w:rsidR="00AC7500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認定こども園</w:t>
            </w:r>
            <w:r w:rsidR="0092095D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の</w:t>
            </w:r>
            <w:r w:rsidR="001867E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退園</w:t>
            </w:r>
            <w:r w:rsidR="0092095D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決定</w:t>
            </w:r>
            <w:r w:rsidR="00002833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や</w:t>
            </w:r>
            <w:r w:rsidR="00582121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支給</w:t>
            </w:r>
            <w:r w:rsidR="00002833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認定の取り消し</w:t>
            </w:r>
            <w:r w:rsidR="0092095D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を受けても、</w:t>
            </w:r>
            <w:r w:rsidR="008F13DF" w:rsidRPr="00786254">
              <w:rPr>
                <w:rFonts w:asciiTheme="majorEastAsia" w:eastAsiaTheme="majorEastAsia" w:hAnsiTheme="majorEastAsia" w:cs="TTE58A6750t00CID-WinCharSetFFFF" w:hint="eastAsia"/>
                <w:kern w:val="0"/>
                <w:sz w:val="22"/>
                <w:szCs w:val="22"/>
              </w:rPr>
              <w:t>異議ありません。</w:t>
            </w:r>
          </w:p>
        </w:tc>
      </w:tr>
    </w:tbl>
    <w:p w14:paraId="05293633" w14:textId="77777777" w:rsidR="00577AA1" w:rsidRDefault="00577AA1" w:rsidP="00C570D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</w:p>
    <w:p w14:paraId="191104B1" w14:textId="77777777" w:rsidR="00970F22" w:rsidRPr="00786254" w:rsidRDefault="00151B38" w:rsidP="00C570D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  <w:r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天理市長　様　　　　　　　　　　　　</w:t>
      </w:r>
    </w:p>
    <w:p w14:paraId="3CEDBCB0" w14:textId="77777777" w:rsidR="00FA19D1" w:rsidRPr="00786254" w:rsidRDefault="00170AD1" w:rsidP="00AC7500">
      <w:pPr>
        <w:autoSpaceDE w:val="0"/>
        <w:autoSpaceDN w:val="0"/>
        <w:adjustRightInd w:val="0"/>
        <w:ind w:firstLineChars="200" w:firstLine="48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  <w:r>
        <w:rPr>
          <w:rFonts w:asciiTheme="majorEastAsia" w:eastAsiaTheme="majorEastAsia" w:hAnsiTheme="majorEastAsia" w:cs="TTE58A6750t00CID-WinCharSetFFFF" w:hint="eastAsia"/>
          <w:kern w:val="0"/>
          <w:sz w:val="24"/>
        </w:rPr>
        <w:t>支給認定の申請及び</w:t>
      </w:r>
      <w:r w:rsidR="00AC7500">
        <w:rPr>
          <w:rFonts w:asciiTheme="majorEastAsia" w:eastAsiaTheme="majorEastAsia" w:hAnsiTheme="majorEastAsia" w:cs="TTE58A6750t00CID-WinCharSetFFFF" w:hint="eastAsia"/>
          <w:kern w:val="0"/>
          <w:sz w:val="24"/>
        </w:rPr>
        <w:t>認定こども園</w:t>
      </w:r>
      <w:r>
        <w:rPr>
          <w:rFonts w:asciiTheme="majorEastAsia" w:eastAsiaTheme="majorEastAsia" w:hAnsiTheme="majorEastAsia" w:cs="TTE58A6750t00CID-WinCharSetFFFF" w:hint="eastAsia"/>
          <w:kern w:val="0"/>
          <w:sz w:val="24"/>
        </w:rPr>
        <w:t>の利用</w:t>
      </w:r>
      <w:r w:rsidR="00151B38"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>にあたり、上記事項について同意します。</w:t>
      </w:r>
    </w:p>
    <w:p w14:paraId="076C833C" w14:textId="77777777" w:rsidR="00FA19D1" w:rsidRPr="00786254" w:rsidRDefault="00FA19D1" w:rsidP="00FA19D1">
      <w:pPr>
        <w:autoSpaceDE w:val="0"/>
        <w:autoSpaceDN w:val="0"/>
        <w:adjustRightInd w:val="0"/>
        <w:ind w:firstLineChars="800" w:firstLine="192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</w:p>
    <w:p w14:paraId="68F3395C" w14:textId="77777777" w:rsidR="00C570DE" w:rsidRPr="00786254" w:rsidRDefault="00151B38" w:rsidP="00FA19D1">
      <w:pPr>
        <w:autoSpaceDE w:val="0"/>
        <w:autoSpaceDN w:val="0"/>
        <w:adjustRightInd w:val="0"/>
        <w:ind w:firstLineChars="2800" w:firstLine="672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  <w:r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　　年　　　月　　　日</w:t>
      </w:r>
    </w:p>
    <w:p w14:paraId="55EC70D6" w14:textId="77777777" w:rsidR="001767BD" w:rsidRPr="00786254" w:rsidRDefault="00151B38" w:rsidP="00C570D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  <w:u w:val="single"/>
        </w:rPr>
      </w:pPr>
      <w:r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>住　　　所</w:t>
      </w:r>
      <w:r w:rsidR="001767BD"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</w:t>
      </w:r>
    </w:p>
    <w:p w14:paraId="6AB1A997" w14:textId="77777777" w:rsidR="00FA19D1" w:rsidRPr="00786254" w:rsidRDefault="00FA19D1" w:rsidP="00C570D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  <w:u w:val="single"/>
        </w:rPr>
      </w:pPr>
    </w:p>
    <w:p w14:paraId="3CC3FC9E" w14:textId="77777777" w:rsidR="00E9487B" w:rsidRPr="00786254" w:rsidRDefault="007A1257" w:rsidP="00C570D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  <w:r>
        <w:rPr>
          <w:rFonts w:asciiTheme="majorEastAsia" w:eastAsiaTheme="majorEastAsia" w:hAnsiTheme="majorEastAsia" w:cs="TTE58A6750t00CID-WinCharSetFFFF"/>
          <w:noProof/>
          <w:kern w:val="0"/>
          <w:sz w:val="24"/>
        </w:rPr>
        <w:pict w14:anchorId="50AC31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5.4pt;margin-top:1.05pt;width:412.5pt;height:0;z-index:251663360" o:connectortype="straight"/>
        </w:pict>
      </w:r>
    </w:p>
    <w:p w14:paraId="45BF0F6B" w14:textId="77777777" w:rsidR="00C570DE" w:rsidRPr="005E447D" w:rsidRDefault="00151B38" w:rsidP="00C570D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</w:rPr>
      </w:pPr>
      <w:r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>保護者氏名</w:t>
      </w:r>
      <w:r w:rsidR="001767BD"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</w:t>
      </w:r>
      <w:r w:rsidR="00340D61"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　</w:t>
      </w:r>
      <w:r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　　　　　　　　　　　　　　　　　</w:t>
      </w:r>
      <w:r w:rsidR="001767BD"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</w:t>
      </w:r>
      <w:r w:rsidR="005E447D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</w:t>
      </w:r>
      <w:r w:rsidR="005E447D" w:rsidRPr="005E447D">
        <w:rPr>
          <w:rFonts w:asciiTheme="majorEastAsia" w:eastAsiaTheme="majorEastAsia" w:hAnsiTheme="majorEastAsia" w:cs="TTE58A6750t00CID-WinCharSetFFFF" w:hint="eastAsia"/>
          <w:kern w:val="0"/>
        </w:rPr>
        <w:t>続柄：児童の（　　　　）</w:t>
      </w:r>
    </w:p>
    <w:p w14:paraId="4DBF436D" w14:textId="77777777" w:rsidR="001767BD" w:rsidRPr="00786254" w:rsidRDefault="00D918F2" w:rsidP="00C570D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  <w:r>
        <w:rPr>
          <w:rFonts w:asciiTheme="majorEastAsia" w:eastAsiaTheme="majorEastAsia" w:hAnsiTheme="majorEastAsia" w:cs="TTE58A6750t00CID-WinCharSetFFFF" w:hint="eastAsia"/>
          <w:kern w:val="0"/>
          <w:sz w:val="24"/>
        </w:rPr>
        <w:t>（自署）</w:t>
      </w:r>
      <w:r w:rsidR="007A1257">
        <w:rPr>
          <w:rFonts w:asciiTheme="majorEastAsia" w:eastAsiaTheme="majorEastAsia" w:hAnsiTheme="majorEastAsia" w:cs="TTE58A6750t00CID-WinCharSetFFFF"/>
          <w:noProof/>
          <w:kern w:val="0"/>
          <w:sz w:val="24"/>
        </w:rPr>
        <w:pict w14:anchorId="78ED2154">
          <v:shape id="_x0000_s1031" type="#_x0000_t32" style="position:absolute;margin-left:65.4pt;margin-top:16.05pt;width:412.5pt;height:0;z-index:251664384;mso-position-horizontal-relative:text;mso-position-vertical-relative:text" o:connectortype="straight"/>
        </w:pict>
      </w:r>
    </w:p>
    <w:p w14:paraId="3D8A9858" w14:textId="77777777" w:rsidR="001767BD" w:rsidRPr="00786254" w:rsidRDefault="007A1257" w:rsidP="00C570D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  <w:r>
        <w:rPr>
          <w:rFonts w:asciiTheme="majorEastAsia" w:eastAsiaTheme="majorEastAsia" w:hAnsiTheme="majorEastAsia"/>
          <w:noProof/>
        </w:rPr>
        <w:pict w14:anchorId="3C248E19">
          <v:shape id="_x0000_s1027" type="#_x0000_t32" style="position:absolute;margin-left:138pt;margin-top:659.95pt;width:32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lq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zzL8n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"/>
        </w:pict>
      </w:r>
    </w:p>
    <w:p w14:paraId="09034974" w14:textId="77777777" w:rsidR="001767BD" w:rsidRPr="00786254" w:rsidRDefault="00D918F2" w:rsidP="00C570D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  <w:r>
        <w:rPr>
          <w:rFonts w:asciiTheme="majorEastAsia" w:eastAsiaTheme="majorEastAsia" w:hAnsiTheme="majorEastAsia" w:cs="TTE58A6750t00CID-WinCharSetFFFF" w:hint="eastAsia"/>
          <w:kern w:val="0"/>
          <w:sz w:val="24"/>
        </w:rPr>
        <w:t>（自署）</w:t>
      </w:r>
      <w:r w:rsidR="00340D61"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　　　　　</w:t>
      </w:r>
      <w:r w:rsidR="001767BD"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　　　　　　　　　</w:t>
      </w:r>
      <w:r w:rsidR="007A1257">
        <w:rPr>
          <w:rFonts w:asciiTheme="majorEastAsia" w:eastAsiaTheme="majorEastAsia" w:hAnsiTheme="majorEastAsia"/>
          <w:noProof/>
        </w:rPr>
        <w:pict w14:anchorId="616C3537">
          <v:shape id="AutoShape 3" o:spid="_x0000_s1026" type="#_x0000_t32" style="position:absolute;margin-left:138pt;margin-top:659.95pt;width:32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r0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3mW5fMU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"/>
        </w:pict>
      </w:r>
      <w:r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　　　　　　</w:t>
      </w:r>
      <w:r w:rsidR="001767BD"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</w:t>
      </w:r>
      <w:r w:rsidR="005E447D" w:rsidRPr="005E447D">
        <w:rPr>
          <w:rFonts w:asciiTheme="majorEastAsia" w:eastAsiaTheme="majorEastAsia" w:hAnsiTheme="majorEastAsia" w:cs="TTE58A6750t00CID-WinCharSetFFFF" w:hint="eastAsia"/>
          <w:kern w:val="0"/>
        </w:rPr>
        <w:t>続柄：児童の（　　　　）</w:t>
      </w:r>
    </w:p>
    <w:p w14:paraId="5E25A6AE" w14:textId="77777777" w:rsidR="00E77B63" w:rsidRPr="00786254" w:rsidRDefault="007A1257" w:rsidP="00970F2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  <w:sz w:val="24"/>
        </w:rPr>
      </w:pPr>
      <w:r>
        <w:rPr>
          <w:rFonts w:asciiTheme="majorEastAsia" w:eastAsiaTheme="majorEastAsia" w:hAnsiTheme="majorEastAsia" w:cs="TTE58A6750t00CID-WinCharSetFFFF"/>
          <w:noProof/>
          <w:kern w:val="0"/>
          <w:sz w:val="24"/>
        </w:rPr>
        <w:pict w14:anchorId="0F425A8C">
          <v:shape id="_x0000_s1032" type="#_x0000_t32" style="position:absolute;margin-left:65.4pt;margin-top:7.8pt;width:412.5pt;height:0;z-index:251665408" o:connectortype="straight"/>
        </w:pict>
      </w:r>
      <w:r w:rsidR="001767BD" w:rsidRPr="00786254">
        <w:rPr>
          <w:rFonts w:asciiTheme="majorEastAsia" w:eastAsiaTheme="majorEastAsia" w:hAnsiTheme="majorEastAsia" w:cs="TTE58A6750t00CID-WinCharSetFFFF" w:hint="eastAsia"/>
          <w:kern w:val="0"/>
          <w:sz w:val="24"/>
        </w:rPr>
        <w:t xml:space="preserve">　　　　　　　　　　　　　　　　　　　　　　　　　　</w:t>
      </w:r>
    </w:p>
    <w:p w14:paraId="65783C3F" w14:textId="77777777" w:rsidR="001767BD" w:rsidRPr="00786254" w:rsidRDefault="001767BD" w:rsidP="00970F2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E58A6750t00CID-WinCharSetFFFF"/>
          <w:kern w:val="0"/>
        </w:rPr>
      </w:pPr>
      <w:r w:rsidRPr="00786254">
        <w:rPr>
          <w:rFonts w:asciiTheme="majorEastAsia" w:eastAsiaTheme="majorEastAsia" w:hAnsiTheme="majorEastAsia" w:cs="TTE58A6750t00CID-WinCharSetFFFF" w:hint="eastAsia"/>
          <w:kern w:val="0"/>
        </w:rPr>
        <w:t>注意：保護者全員が同意してください。</w:t>
      </w:r>
    </w:p>
    <w:sectPr w:rsidR="001767BD" w:rsidRPr="00786254" w:rsidSect="008F48C7">
      <w:headerReference w:type="default" r:id="rId7"/>
      <w:pgSz w:w="11907" w:h="16840" w:code="9"/>
      <w:pgMar w:top="1134" w:right="902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6110" w14:textId="77777777" w:rsidR="00AC295C" w:rsidRDefault="00AC295C" w:rsidP="00AC295C">
      <w:r>
        <w:separator/>
      </w:r>
    </w:p>
  </w:endnote>
  <w:endnote w:type="continuationSeparator" w:id="0">
    <w:p w14:paraId="036ACC78" w14:textId="77777777" w:rsidR="00AC295C" w:rsidRDefault="00AC295C" w:rsidP="00AC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E58A6750t00CID-WinCharSetFFFF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B7EB" w14:textId="77777777" w:rsidR="00AC295C" w:rsidRDefault="00AC295C" w:rsidP="00AC295C">
      <w:r>
        <w:separator/>
      </w:r>
    </w:p>
  </w:footnote>
  <w:footnote w:type="continuationSeparator" w:id="0">
    <w:p w14:paraId="053F3326" w14:textId="77777777" w:rsidR="00AC295C" w:rsidRDefault="00AC295C" w:rsidP="00AC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E4F1" w14:textId="568052FC" w:rsidR="00AC295C" w:rsidRDefault="00AC295C" w:rsidP="00AC295C">
    <w:pPr>
      <w:pStyle w:val="a3"/>
      <w:jc w:val="right"/>
    </w:pPr>
    <w:r>
      <w:rPr>
        <w:rFonts w:hint="eastAsia"/>
      </w:rPr>
      <w:t>令和７年７月改定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86F01"/>
    <w:multiLevelType w:val="hybridMultilevel"/>
    <w:tmpl w:val="12721280"/>
    <w:lvl w:ilvl="0" w:tplc="8390A4D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TE58A6750t00CID-WinCharSetFFFF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1C"/>
    <w:rsid w:val="00002833"/>
    <w:rsid w:val="000D44CF"/>
    <w:rsid w:val="000E1F12"/>
    <w:rsid w:val="00151B38"/>
    <w:rsid w:val="00170AD1"/>
    <w:rsid w:val="001767BD"/>
    <w:rsid w:val="001867E4"/>
    <w:rsid w:val="00296B0D"/>
    <w:rsid w:val="002C1B7F"/>
    <w:rsid w:val="002F71ED"/>
    <w:rsid w:val="00340D61"/>
    <w:rsid w:val="003B5585"/>
    <w:rsid w:val="00410B06"/>
    <w:rsid w:val="00497753"/>
    <w:rsid w:val="005112BA"/>
    <w:rsid w:val="00520B5A"/>
    <w:rsid w:val="00577AA1"/>
    <w:rsid w:val="00582121"/>
    <w:rsid w:val="005D613D"/>
    <w:rsid w:val="005E447D"/>
    <w:rsid w:val="005E737E"/>
    <w:rsid w:val="006555F9"/>
    <w:rsid w:val="00660C1D"/>
    <w:rsid w:val="006816E0"/>
    <w:rsid w:val="00690FF6"/>
    <w:rsid w:val="00742028"/>
    <w:rsid w:val="00786254"/>
    <w:rsid w:val="007A1257"/>
    <w:rsid w:val="008807D4"/>
    <w:rsid w:val="008F13DF"/>
    <w:rsid w:val="008F48C7"/>
    <w:rsid w:val="0092095D"/>
    <w:rsid w:val="009422CC"/>
    <w:rsid w:val="0097706B"/>
    <w:rsid w:val="00997BA4"/>
    <w:rsid w:val="009D60B0"/>
    <w:rsid w:val="00A670A2"/>
    <w:rsid w:val="00AC295C"/>
    <w:rsid w:val="00AC7500"/>
    <w:rsid w:val="00B240EB"/>
    <w:rsid w:val="00C35DDC"/>
    <w:rsid w:val="00C65951"/>
    <w:rsid w:val="00C710C4"/>
    <w:rsid w:val="00D17D4D"/>
    <w:rsid w:val="00D26F2A"/>
    <w:rsid w:val="00D32739"/>
    <w:rsid w:val="00D845E3"/>
    <w:rsid w:val="00D918F2"/>
    <w:rsid w:val="00DB2620"/>
    <w:rsid w:val="00E27E66"/>
    <w:rsid w:val="00E518CC"/>
    <w:rsid w:val="00E7434E"/>
    <w:rsid w:val="00E755C8"/>
    <w:rsid w:val="00E76D1C"/>
    <w:rsid w:val="00EB7F95"/>
    <w:rsid w:val="00F97C0C"/>
    <w:rsid w:val="00FA19D1"/>
    <w:rsid w:val="00FC1AB4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  <o:rules v:ext="edit">
        <o:r id="V:Rule6" type="connector" idref="#AutoShape 3"/>
        <o:r id="V:Rule7" type="connector" idref="#_x0000_s1030"/>
        <o:r id="V:Rule8" type="connector" idref="#_x0000_s1031"/>
        <o:r id="V:Rule9" type="connector" idref="#_x0000_s1032"/>
        <o:r id="V:Rule10" type="connector" idref="#_x0000_s1027"/>
      </o:rules>
    </o:shapelayout>
  </w:shapeDefaults>
  <w:decimalSymbol w:val="."/>
  <w:listSeparator w:val=","/>
  <w14:docId w14:val="1380D73F"/>
  <w15:docId w15:val="{798315F0-4E23-47AC-8F69-EE64DAD2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7B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77B6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76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767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同意書及び誓約書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同意書及び誓約書</dc:title>
  <dc:creator>Apache POI</dc:creator>
  <cp:lastModifiedBy>PC2402-078</cp:lastModifiedBy>
  <cp:revision>59</cp:revision>
  <cp:lastPrinted>2024-09-02T00:31:00Z</cp:lastPrinted>
  <dcterms:created xsi:type="dcterms:W3CDTF">2018-07-12T11:35:00Z</dcterms:created>
  <dcterms:modified xsi:type="dcterms:W3CDTF">2025-07-25T00:37:00Z</dcterms:modified>
</cp:coreProperties>
</file>